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E31" w:rsidRPr="00D57CE3" w:rsidRDefault="00241E31" w:rsidP="00D57CE3">
      <w:pPr>
        <w:pBdr>
          <w:bottom w:val="single" w:sz="18" w:space="4" w:color="000000"/>
        </w:pBd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D57CE3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Отрасль уходит в сопки</w:t>
      </w:r>
    </w:p>
    <w:p w:rsidR="00241E31" w:rsidRPr="00D57CE3" w:rsidRDefault="00D57CE3" w:rsidP="00D57CE3">
      <w:pPr>
        <w:shd w:val="clear" w:color="auto" w:fill="FFFFFF"/>
        <w:spacing w:before="100" w:beforeAutospacing="1" w:after="150" w:line="240" w:lineRule="auto"/>
        <w:ind w:right="15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he-IL"/>
        </w:rPr>
      </w:pPr>
      <w:r w:rsidRPr="00D57CE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he-IL"/>
        </w:rPr>
        <w:t>20.03.2023</w:t>
      </w:r>
      <w:r w:rsidRPr="00D57CE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he-IL"/>
        </w:rPr>
        <w:tab/>
      </w:r>
      <w:hyperlink r:id="rId5" w:history="1">
        <w:r w:rsidRPr="00D57CE3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 w:bidi="he-IL"/>
          </w:rPr>
          <w:t>Биробиджанская Звезда</w:t>
        </w:r>
      </w:hyperlink>
      <w:r w:rsidRPr="00D57CE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he-IL"/>
        </w:rPr>
        <w:tab/>
      </w:r>
      <w:r w:rsidRPr="00D57CE3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he-IL"/>
        </w:rPr>
        <w:tab/>
      </w:r>
      <w:hyperlink r:id="rId6" w:tooltip="Записи Николай Немаев" w:history="1">
        <w:r w:rsidRPr="00D57CE3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 w:bidi="he-IL"/>
          </w:rPr>
          <w:t xml:space="preserve">Николай </w:t>
        </w:r>
        <w:proofErr w:type="spellStart"/>
        <w:r w:rsidRPr="00D57CE3">
          <w:rPr>
            <w:rFonts w:ascii="Times New Roman" w:eastAsia="Times New Roman" w:hAnsi="Times New Roman" w:cs="Times New Roman"/>
            <w:i/>
            <w:iCs/>
            <w:sz w:val="24"/>
            <w:szCs w:val="24"/>
            <w:lang w:eastAsia="ru-RU" w:bidi="he-IL"/>
          </w:rPr>
          <w:t>Немаев</w:t>
        </w:r>
        <w:proofErr w:type="spellEnd"/>
      </w:hyperlink>
    </w:p>
    <w:p w:rsidR="00D57CE3" w:rsidRPr="00D57CE3" w:rsidRDefault="00D57CE3" w:rsidP="00D57CE3">
      <w:pPr>
        <w:pStyle w:val="a6"/>
        <w:shd w:val="clear" w:color="auto" w:fill="FFFFFF"/>
        <w:spacing w:before="0" w:beforeAutospacing="0" w:after="192" w:afterAutospacing="0"/>
        <w:jc w:val="both"/>
        <w:rPr>
          <w:color w:val="000000"/>
        </w:rPr>
      </w:pPr>
    </w:p>
    <w:p w:rsidR="00D57CE3" w:rsidRPr="00D57CE3" w:rsidRDefault="00D57CE3" w:rsidP="00D57CE3">
      <w:pPr>
        <w:pStyle w:val="a6"/>
        <w:shd w:val="clear" w:color="auto" w:fill="FFFFFF"/>
        <w:spacing w:before="0" w:beforeAutospacing="0" w:after="192" w:afterAutospacing="0"/>
        <w:jc w:val="both"/>
        <w:rPr>
          <w:color w:val="000000"/>
        </w:rPr>
      </w:pPr>
      <w:r w:rsidRPr="00D57CE3">
        <w:rPr>
          <w:rStyle w:val="a7"/>
          <w:color w:val="000000"/>
        </w:rPr>
        <w:t>В области успешно развивают горнодобывающую промышленность</w:t>
      </w:r>
    </w:p>
    <w:p w:rsidR="00D57CE3" w:rsidRPr="00D57CE3" w:rsidRDefault="00D57CE3" w:rsidP="00D57CE3">
      <w:pPr>
        <w:pStyle w:val="a6"/>
        <w:shd w:val="clear" w:color="auto" w:fill="FFFFFF"/>
        <w:spacing w:before="0" w:beforeAutospacing="0" w:after="192" w:afterAutospacing="0"/>
        <w:jc w:val="both"/>
        <w:rPr>
          <w:color w:val="000000"/>
        </w:rPr>
      </w:pPr>
      <w:r w:rsidRPr="00D57CE3">
        <w:rPr>
          <w:rStyle w:val="a7"/>
          <w:color w:val="000000"/>
        </w:rPr>
        <w:t>В структуре валового регионального продукта (ВРП) на промышленное производство ЕАО приходится более 15 процентов.</w:t>
      </w:r>
    </w:p>
    <w:p w:rsidR="00241E31" w:rsidRDefault="00D57CE3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88888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noProof/>
          <w:color w:val="0066CC"/>
          <w:sz w:val="24"/>
          <w:szCs w:val="24"/>
          <w:lang w:eastAsia="ru-RU" w:bidi="he-IL"/>
        </w:rPr>
        <w:drawing>
          <wp:inline distT="0" distB="0" distL="0" distR="0">
            <wp:extent cx="2173873" cy="1447800"/>
            <wp:effectExtent l="19050" t="0" r="0" b="0"/>
            <wp:docPr id="1" name="Рисунок 4" descr="Отрасль уходит в сопки - На Кимкано-Сутарском ГОКе">
              <a:hlinkClick xmlns:a="http://schemas.openxmlformats.org/drawingml/2006/main" r:id="rId7" tooltip="&quot;Отрасль уходит в сопки - На Кимкано-Сутарском ГОК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трасль уходит в сопки - На Кимкано-Сутарском ГОКе">
                      <a:hlinkClick r:id="rId7" tooltip="&quot;Отрасль уходит в сопки - На Кимкано-Сутарском ГОК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73" cy="146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7CE3" w:rsidRPr="00D57CE3" w:rsidRDefault="00D57CE3" w:rsidP="00D57CE3">
      <w:pPr>
        <w:pStyle w:val="imagecredits"/>
        <w:shd w:val="clear" w:color="auto" w:fill="FFFFFF"/>
        <w:spacing w:before="0" w:beforeAutospacing="0" w:after="0" w:afterAutospacing="0"/>
        <w:jc w:val="center"/>
        <w:rPr>
          <w:i/>
          <w:iCs/>
        </w:rPr>
      </w:pPr>
      <w:r w:rsidRPr="00D57CE3">
        <w:rPr>
          <w:i/>
          <w:iCs/>
        </w:rPr>
        <w:t xml:space="preserve">Фото предоставил Алексей БЕЗУГЛЫЙ </w:t>
      </w:r>
      <w:r>
        <w:rPr>
          <w:i/>
          <w:iCs/>
        </w:rPr>
        <w:t>н</w:t>
      </w:r>
      <w:r w:rsidRPr="00D57CE3">
        <w:rPr>
          <w:i/>
          <w:iCs/>
        </w:rPr>
        <w:t xml:space="preserve">а </w:t>
      </w:r>
      <w:proofErr w:type="spellStart"/>
      <w:r w:rsidRPr="00D57CE3">
        <w:rPr>
          <w:i/>
          <w:iCs/>
        </w:rPr>
        <w:t>Кимкано-Сутарском</w:t>
      </w:r>
      <w:proofErr w:type="spellEnd"/>
      <w:r w:rsidRPr="00D57CE3">
        <w:rPr>
          <w:i/>
          <w:iCs/>
        </w:rPr>
        <w:t xml:space="preserve"> </w:t>
      </w:r>
      <w:proofErr w:type="spellStart"/>
      <w:r w:rsidRPr="00D57CE3">
        <w:rPr>
          <w:i/>
          <w:iCs/>
        </w:rPr>
        <w:t>ГОКе</w:t>
      </w:r>
      <w:proofErr w:type="spellEnd"/>
    </w:p>
    <w:p w:rsidR="00D57CE3" w:rsidRDefault="00D57CE3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88888"/>
          <w:sz w:val="24"/>
          <w:szCs w:val="24"/>
          <w:lang w:eastAsia="ru-RU"/>
        </w:rPr>
      </w:pPr>
    </w:p>
    <w:p w:rsidR="00D57CE3" w:rsidRPr="00D57CE3" w:rsidRDefault="00D57CE3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88888"/>
          <w:sz w:val="24"/>
          <w:szCs w:val="24"/>
          <w:lang w:eastAsia="ru-RU"/>
        </w:rPr>
      </w:pPr>
    </w:p>
    <w:p w:rsidR="00241E31" w:rsidRPr="00D57CE3" w:rsidRDefault="00AC6919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мнению автора в</w:t>
      </w:r>
      <w:r w:rsidR="00241E31"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 успешно развивают горнодобывающую промышленность</w:t>
      </w: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41E31"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структуре валового регионального продукта (ВРП) на промышленное производство ЕАО приходится более 15 процентов.</w:t>
      </w:r>
    </w:p>
    <w:p w:rsidR="00241E31" w:rsidRPr="00D57CE3" w:rsidRDefault="00241E31" w:rsidP="00D57CE3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Это железно!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электронном средстве массовой информации «Недра ДВ» опубликовано сообщение о работе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Кимкано-Сутарский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горно-обогатительного комбината за 12 месяцев 2021 года. Комбинат произвёл 2 </w:t>
      </w:r>
      <w:proofErr w:type="gram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млн</w:t>
      </w:r>
      <w:proofErr w:type="gram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557 тыс. 794 тонны железорудного концентрата. Чистая прибыль от продажи продукции составила 134,1 миллиона долларов США. ГОК по итогам года нарастил прибыль на 33 процента.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информации этого же источника, результаты работы ГОКа в 2022 году скромнее. Производство железорудного концентрата составило 2 </w:t>
      </w:r>
      <w:proofErr w:type="gram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млн</w:t>
      </w:r>
      <w:proofErr w:type="gram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382 тыс. 900 тонн. Снизилась прибыль от продажи продукции – упала цена железорудного концентрата, поставляемая ГОКом за рубеж. На фоне антироссийских санкций были трудности с транспортировкой продукции.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 не менее, по информации Алексея Безуглого, заместителя начальника департамента экономики правительства Еврейской автономной области, в разработку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Кимканского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железорудных месторождений уже инвестировано более 29 миллиардов рублей. А ещё трудоустроено 1 600 человек, в основном из сельской местности.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2018 года предприятие приступило к разработке второй очереди инвестиционного проекта –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месторождения железистых кварцитов. Проект одобрен и включен в государственную программу Российской Федерации «Социально-экономическое развитие Дальневосточного федерального округа».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Согласно проекту построен участок автомобильной дороги до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месторождения железистых кварцитов, возведён временный автомобильный мост через реку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Сутару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Ведутся подготовительные работы по строительству отвода (спрямления) русла реки. </w:t>
      </w: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Заключены договоры на проведение инженерных изысканий и проектирование отвода русла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Сутары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стадии разработки проектно-сметная документация по строительству рудника на базе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месторождения железистых кварцитов. Плановый объем инвестиций, направленных на освоение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Сутарского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месторождения, </w:t>
      </w:r>
      <w:r w:rsid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2,35 миллиарда рублей. Здесь будет создано 200 новых рабочих мест. То есть, несмотря на трудности производства и непростую ситуацию со сбытом продукции,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Кимкано-Сутарский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ГОК не застыл в своём развитии. Напротив, комбинат стремится нарастить объёмы добычи руды и производства продукции.</w:t>
      </w:r>
    </w:p>
    <w:p w:rsidR="00241E31" w:rsidRPr="00D57CE3" w:rsidRDefault="00241E31" w:rsidP="00D57CE3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Графит на подходе</w:t>
      </w:r>
    </w:p>
    <w:p w:rsidR="00D57CE3" w:rsidRDefault="00241E31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he-IL"/>
        </w:rPr>
        <w:drawing>
          <wp:inline distT="0" distB="0" distL="0" distR="0">
            <wp:extent cx="2857500" cy="1285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E31" w:rsidRPr="00D57CE3" w:rsidRDefault="00241E31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СТРОЙПЛОЩАДКЕ ООО «ДАЛЬГРАФИТ»</w:t>
      </w:r>
    </w:p>
    <w:p w:rsidR="00D57CE3" w:rsidRDefault="00D57CE3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Компания ООО «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Дальграфит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претворяет в жизнь проект освоения месторождения графита «Союзное», второго в мире по величине запасов этого минерала. Проектная мощность фабрики – 40 тысяч тонн графитового концентрата в год. Предполагается сбыт продукции, как отечественным потребителям, так и потребителям стран Азиатско-Тихоокеанского региона. Запланировано создание 300 рабочих мест.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«Общие ресурсы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Тополихинского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участка месторождения «Союзное» составляют более 15 миллионов тонн графита. Добыча и переработка сырья </w:t>
      </w:r>
      <w:proofErr w:type="gram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рассчитаны</w:t>
      </w:r>
      <w:proofErr w:type="gram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ближайшие 60 лет. Реализацию проекта начали в 2011 году. На сегодня выполнен комплекс геологоразведочных работ. Закончено проектирование предприятия. Готов к эксплуатации карьер «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Тополихинский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Смонтированы высоковольтная линия (</w:t>
      </w:r>
      <w:proofErr w:type="gram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</w:t>
      </w:r>
      <w:proofErr w:type="gram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110 киловольт) с подстанцией (110/35/10 кв).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Построены подъездная автодорога к промышленной площадке предприятия и автодорога от карьера «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Тополихинский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до обогатительной фабрики и административно-бытового комплекса. Идёт строительство основного корпуса обогатительной фабрики и жилого комплекса для персонала. Разработана технология производств высокочистых марок графита, сферического графита для технологичных отраслей», сообщается на сайте ООО «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Дальграфит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же можно прочитать, что «объём инвестиций на первом этапе реализации проекта составит около 120 миллионов долларов США. Реализация планов позволит в перспективе возродить графитовую отрасль России и создать на территории страны промышленный комплекс по выпуску графита, который станет источником для изготовления высокотехнологичной графитовой продукции для металлургической промышленности, машиностроения и производства электроники».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Проектом предусмотрено ввести в эксплуатацию на месторождении «Союзное» горно-обогатительное предприятие (фабрику) для производства кристаллического графита в 2023 году. Год уже начался.</w:t>
      </w:r>
    </w:p>
    <w:p w:rsidR="00241E31" w:rsidRPr="00D57CE3" w:rsidRDefault="00241E31" w:rsidP="00D57CE3">
      <w:pPr>
        <w:shd w:val="clear" w:color="auto" w:fill="FFFFFF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lastRenderedPageBreak/>
        <w:t>«Белый камень» надежд</w:t>
      </w:r>
    </w:p>
    <w:p w:rsidR="00D57CE3" w:rsidRDefault="00241E31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he-IL"/>
        </w:rPr>
        <w:drawing>
          <wp:inline distT="0" distB="0" distL="0" distR="0">
            <wp:extent cx="2857500" cy="1847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E31" w:rsidRPr="00D57CE3" w:rsidRDefault="00241E31" w:rsidP="00D57C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КУЛЬДУРСКИЙ БРУСИТОВЫЙ РУДНИК</w:t>
      </w:r>
    </w:p>
    <w:p w:rsidR="00D57CE3" w:rsidRDefault="00D57CE3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ООО «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Кульдурский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бруситовый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рудник» за 2022 год в натуральном выражении выпустил 498,5 тысячи тонн брусита. В денежном выражении это 866,9 миллиона рублей, что на 89,9 процента больше, чем за 2021 год, назвал цифры корреспонденту газеты Алексей Безуглый.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его информации, с целью дальнейшего наращивания объёмов производства и компенсации выбывающей мощности дорабатываемого Кульдурского месторождения магнезиального сырья, инициатор планирует создание производственных мощностей по добыче ценного минерала на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Савкинском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месторождении. Оно открыто в шестидесятые годы прошлого века советскими геологами в Октябрьском районе ЕАО.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Савкинское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месторождение «белого камня» – уникальное для нашей страны и крупное даже по мировым масштабам. Его запасы – 21,5 миллиона тонн, и составляют 31 процент от мировых! Ежегодный планируемый объём добычи – до полумиллиона тонн. Ожидаемый срок эксплуатации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Савкинского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месторождения составит 40-45 лет.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Брусит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(двуокись магния) – природный минерал, занимает ведущее место по содержанию магния в ряду промышленных магнезиальных минералов. Получаемые в результате переработки на производственных мощностях инициатора проекта магнезиальные продукты можно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применяють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строительной, химической, металлургической, огнеупорной, стекольной, бумажной промышленности, в сельском хозяйстве, при очистке сточных вод и производстве резинотехнической продукции.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Производимая продукция является экологически чистой, благодаря чему ее используют на территории 31 региона РФ и экспортируют в 20 стран Европы и Азии, включая страны – члены ШОС (Шанхайская организация сотрудничества) и БРИКС.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Инфраструктура месторождения формируется в северном направлении, с примыканием к Транссибу на железнодорожной станции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Биракан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выходом на федеральную автодорогу Амур в районе посёлка </w:t>
      </w:r>
      <w:proofErr w:type="spell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Биракан</w:t>
      </w:r>
      <w:proofErr w:type="spell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назначение инфраструктуры – доставка руды к перерабатывающему комплексу автотранспортом и отгрузка продукции в железнодорожный транспорт на Транссиб для отправки в восточном и западном направлении, а также для доставки оборудования, механизмов, материалов и персонала к месторождению.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объём первоначальных инвестиций составляет 10 </w:t>
      </w:r>
      <w:proofErr w:type="gramStart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млрд</w:t>
      </w:r>
      <w:proofErr w:type="gramEnd"/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569 млн рублей, в т. ч. затраты на строительство объектов инфраструктуры – 8 млрд 412 млн рублей.</w:t>
      </w:r>
    </w:p>
    <w:p w:rsidR="00241E31" w:rsidRPr="00D57CE3" w:rsidRDefault="00241E31" w:rsidP="00D57CE3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C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рамках проекта планируется создание 180 рабочих мест, в том числе для жителей поселений Облученского и Октябрьского районов ЕАО.</w:t>
      </w:r>
    </w:p>
    <w:p w:rsidR="00C63482" w:rsidRPr="00D57CE3" w:rsidRDefault="00241E31" w:rsidP="00D57CE3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7C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 подготовил к печати Николай НЕМАЕВ</w:t>
      </w:r>
    </w:p>
    <w:sectPr w:rsidR="00C63482" w:rsidRPr="00D57CE3" w:rsidSect="00602EF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403F2"/>
    <w:multiLevelType w:val="multilevel"/>
    <w:tmpl w:val="261A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2A1E06"/>
    <w:multiLevelType w:val="multilevel"/>
    <w:tmpl w:val="0A9E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41E31"/>
    <w:rsid w:val="00241E31"/>
    <w:rsid w:val="00602EF4"/>
    <w:rsid w:val="00AC6919"/>
    <w:rsid w:val="00C63482"/>
    <w:rsid w:val="00CA24F7"/>
    <w:rsid w:val="00D5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CE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D57CE3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D57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character" w:styleId="a7">
    <w:name w:val="Strong"/>
    <w:basedOn w:val="a0"/>
    <w:uiPriority w:val="22"/>
    <w:qFormat/>
    <w:rsid w:val="00D57CE3"/>
    <w:rPr>
      <w:b/>
      <w:bCs/>
    </w:rPr>
  </w:style>
  <w:style w:type="paragraph" w:customStyle="1" w:styleId="imagecredits">
    <w:name w:val="image_credits"/>
    <w:basedOn w:val="a"/>
    <w:rsid w:val="00D57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  <w:style w:type="paragraph" w:customStyle="1" w:styleId="imagecaption">
    <w:name w:val="image_caption"/>
    <w:basedOn w:val="a"/>
    <w:rsid w:val="00D57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528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4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gazetaeao.ru/resurs/uploads/2023/03/13-1-2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zetaeao.ru/author/nemaev-gazetaeao-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azetaeao.ru/zvezda/10-17767-15-03-2023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Гуревич</dc:creator>
  <cp:keywords/>
  <dc:description/>
  <cp:lastModifiedBy>angela</cp:lastModifiedBy>
  <cp:revision>3</cp:revision>
  <dcterms:created xsi:type="dcterms:W3CDTF">2023-03-23T22:51:00Z</dcterms:created>
  <dcterms:modified xsi:type="dcterms:W3CDTF">2023-04-03T05:06:00Z</dcterms:modified>
</cp:coreProperties>
</file>